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4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agwek1"/>
        <w:widowControl/>
        <w:rPr/>
      </w:pPr>
      <w:r>
        <w:rPr>
          <w:rFonts w:cs="Arial" w:ascii="Arial" w:hAnsi="Arial"/>
          <w:b w:val="false"/>
          <w:bCs w:val="false"/>
          <w:i w:val="false"/>
          <w:caps w:val="false"/>
          <w:smallCaps w:val="false"/>
          <w:color w:val="000000"/>
          <w:spacing w:val="0"/>
          <w:sz w:val="30"/>
          <w:szCs w:val="30"/>
        </w:rPr>
        <w:t>Mała motoryka, zabawy i ćwiczenia dla dzieci wspierające rozwój małej motoryki</w:t>
      </w:r>
    </w:p>
    <w:p>
      <w:pPr>
        <w:pStyle w:val="Normal"/>
        <w:widowControl/>
        <w:rPr/>
      </w:pPr>
      <w:hyperlink r:id="rId2">
        <w:r>
          <w:rPr>
            <w:rStyle w:val="Czeinternetowe"/>
            <w:rFonts w:cs="Arial" w:ascii="Arial" w:hAnsi="Arial"/>
            <w:b w:val="false"/>
            <w:bCs w:val="false"/>
            <w:color w:val="000000"/>
            <w:sz w:val="30"/>
            <w:szCs w:val="30"/>
          </w:rPr>
          <w:t>https://www.youtube.com/watch?v=Ck7vmL2D8XU</w:t>
        </w:r>
      </w:hyperlink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 xml:space="preserve"> </w:t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/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>Osoba dorosła pomaga dziecku wyciąć miśki i słoiki z miodem. Do każdego misia należy dopasować odpowiednia liczbę miodu.</w:t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405765</wp:posOffset>
            </wp:positionH>
            <wp:positionV relativeFrom="paragraph">
              <wp:posOffset>233680</wp:posOffset>
            </wp:positionV>
            <wp:extent cx="5467985" cy="7600950"/>
            <wp:effectExtent l="0" t="0" r="0" b="0"/>
            <wp:wrapSquare wrapText="largest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/>
      </w:pPr>
      <w:r>
        <w:rPr>
          <w:rFonts w:cs="Arial" w:ascii="Arial" w:hAnsi="Arial"/>
          <w:b w:val="false"/>
          <w:bCs w:val="false"/>
          <w:color w:val="000000"/>
          <w:sz w:val="30"/>
          <w:szCs w:val="30"/>
        </w:rPr>
        <w:t>Ćwiczenie rozwijające mowę i tworzenie zdań:</w:t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60135" cy="8491220"/>
            <wp:effectExtent l="0" t="0" r="0" b="0"/>
            <wp:wrapSquare wrapText="largest"/>
            <wp:docPr id="2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8684260"/>
            <wp:effectExtent l="0" t="0" r="0" b="0"/>
            <wp:wrapSquare wrapText="largest"/>
            <wp:docPr id="3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16370" cy="8982710"/>
            <wp:effectExtent l="0" t="0" r="0" b="0"/>
            <wp:wrapSquare wrapText="largest"/>
            <wp:docPr id="4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898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widowControl/>
        <w:rPr>
          <w:rFonts w:ascii="Arial" w:hAnsi="Arial" w:cs="Arial"/>
          <w:b w:val="false"/>
          <w:b w:val="false"/>
          <w:bCs w:val="false"/>
          <w:color w:val="000000"/>
          <w:sz w:val="30"/>
          <w:szCs w:val="30"/>
        </w:rPr>
      </w:pP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61735" cy="9014460"/>
            <wp:effectExtent l="0" t="0" r="0" b="0"/>
            <wp:wrapSquare wrapText="largest"/>
            <wp:docPr id="5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901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58560" cy="8923020"/>
            <wp:effectExtent l="0" t="0" r="0" b="0"/>
            <wp:wrapSquare wrapText="largest"/>
            <wp:docPr id="6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892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Alfabet Szkolny Demo">
    <w:charset w:val="ee"/>
    <w:family w:val="roman"/>
    <w:pitch w:val="variable"/>
  </w:font>
  <w:font w:name="AgendaP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isplayBackgroundShape/>
  <w:embedSystemFonts/>
  <w:defaultTabStop w:val="720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ascii="Alfabet Szkolny Demo" w:hAnsi="Alfabet Szkolny Demo" w:eastAsia="Andale Sans UI" w:cs="Times New Roman"/>
      <w:color w:val="00000A"/>
      <w:sz w:val="24"/>
      <w:szCs w:val="24"/>
      <w:lang w:val="pl-PL" w:eastAsia="pl-PL" w:bidi="ar-SA"/>
    </w:rPr>
  </w:style>
  <w:style w:type="paragraph" w:styleId="Nagwek1">
    <w:name w:val="Heading 1"/>
    <w:basedOn w:val="Normal"/>
    <w:qFormat/>
    <w:pPr>
      <w:widowControl w:val="false"/>
      <w:bidi w:val="0"/>
      <w:jc w:val="left"/>
      <w:outlineLvl w:val="0"/>
    </w:pPr>
    <w:rPr>
      <w:rFonts w:ascii="Times New Roman" w:hAnsi="Times New Roman" w:eastAsia="Times New Roman" w:cs="Times New Roman"/>
      <w:color w:val="00000A"/>
      <w:sz w:val="24"/>
      <w:szCs w:val="20"/>
      <w:lang w:val="pl-PL" w:eastAsia="pl-PL" w:bidi="ar-SA"/>
    </w:rPr>
  </w:style>
  <w:style w:type="paragraph" w:styleId="Nagwek3">
    <w:name w:val="Heading 3"/>
    <w:basedOn w:val="Nagwek"/>
    <w:qFormat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qFormat/>
    <w:rPr>
      <w:b/>
      <w:bCs/>
    </w:rPr>
  </w:style>
  <w:style w:type="character" w:styleId="Czeinternetowe">
    <w:name w:val="Łącze internetowe"/>
    <w:rPr>
      <w:color w:val="000080"/>
      <w:u w:val="single"/>
    </w:rPr>
  </w:style>
  <w:style w:type="character" w:styleId="A22" w:customStyle="1">
    <w:name w:val="A22"/>
    <w:qFormat/>
    <w:rPr>
      <w:rFonts w:ascii="AgendaPl" w:hAnsi="AgendaPl" w:cs="AgendaPl"/>
      <w:b/>
      <w:i/>
      <w:color w:val="000000"/>
      <w:sz w:val="11"/>
    </w:rPr>
  </w:style>
  <w:style w:type="character" w:styleId="A10" w:customStyle="1">
    <w:name w:val="A10"/>
    <w:qFormat/>
    <w:rPr>
      <w:rFonts w:ascii="AgendaPl" w:hAnsi="AgendaPl" w:cs="AgendaPl"/>
      <w:i/>
      <w:color w:val="000000"/>
      <w:sz w:val="18"/>
    </w:rPr>
  </w:style>
  <w:style w:type="character" w:styleId="A16" w:customStyle="1">
    <w:name w:val="A16"/>
    <w:qFormat/>
    <w:rPr>
      <w:rFonts w:ascii="AgendaPl" w:hAnsi="AgendaPl" w:cs="AgendaPl"/>
      <w:color w:val="000000"/>
      <w:sz w:val="19"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16043"/>
    <w:rPr>
      <w:rFonts w:ascii="Tahoma" w:hAnsi="Tahoma" w:eastAsia="Andale Sans UI" w:cs="Tahoma"/>
      <w:sz w:val="16"/>
      <w:szCs w:val="16"/>
    </w:rPr>
  </w:style>
  <w:style w:type="character" w:styleId="Mocnowyrniony">
    <w:name w:val="Mocno wyróżniony"/>
    <w:qFormat/>
    <w:rPr>
      <w:b/>
      <w:bCs/>
    </w:rPr>
  </w:style>
  <w:style w:type="character" w:styleId="Znakinumeracji">
    <w:name w:val="Znaki numeracji"/>
    <w:qFormat/>
    <w:rPr/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WW8Num2z0">
    <w:name w:val="WW8Num2z0"/>
    <w:qFormat/>
    <w:rPr>
      <w:rFonts w:ascii="Arial" w:hAnsi="Arial" w:cs="Arial"/>
    </w:rPr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omylnaczcionkaakapitu">
    <w:name w:val="Domyślna czcionka akapitu"/>
    <w:qFormat/>
    <w:rPr/>
  </w:style>
  <w:style w:type="character" w:styleId="Hipercze">
    <w:name w:val="Hiperłącze"/>
    <w:basedOn w:val="Domylnaczcionkaakapitu"/>
    <w:qFormat/>
    <w:rPr>
      <w:color w:val="0000FF"/>
      <w:u w:val="single"/>
    </w:rPr>
  </w:style>
  <w:style w:type="character" w:styleId="WWMocnowyrniony">
    <w:name w:val="WW-Mocno wyróżniony"/>
    <w:qFormat/>
    <w:rPr>
      <w:b/>
      <w:bCs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ascii="Arial" w:hAnsi="Arial" w:cs="Arial"/>
      <w:sz w:val="24"/>
    </w:rPr>
  </w:style>
  <w:style w:type="character" w:styleId="Odwiedzoneczeinternetowe">
    <w:name w:val="Odwiedzone łącze internetowe"/>
    <w:rPr>
      <w:color w:val="80000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before="0" w:after="120"/>
    </w:pPr>
    <w:rPr/>
  </w:style>
  <w:style w:type="paragraph" w:styleId="Lista">
    <w:name w:val="List"/>
    <w:basedOn w:val="Tretekstu"/>
    <w:pPr/>
    <w:rPr>
      <w:rFonts w:cs="Tahoma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Tahoma"/>
    </w:rPr>
  </w:style>
  <w:style w:type="paragraph" w:styleId="Nagwek11" w:customStyle="1">
    <w:name w:val="Nagłówek1"/>
    <w:basedOn w:val="Normal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Default" w:customStyle="1">
    <w:name w:val="Default"/>
    <w:qFormat/>
    <w:pPr>
      <w:widowControl w:val="false"/>
      <w:suppressAutoHyphens w:val="true"/>
      <w:bidi w:val="0"/>
      <w:jc w:val="left"/>
    </w:pPr>
    <w:rPr>
      <w:rFonts w:ascii="AgendaPl" w:hAnsi="AgendaPl" w:eastAsia="SimSun" w:cs="Lucida Sans"/>
      <w:color w:val="000000"/>
      <w:sz w:val="24"/>
      <w:szCs w:val="24"/>
      <w:lang w:val="pl-PL" w:eastAsia="zh-CN" w:bidi="hi-IN"/>
    </w:rPr>
  </w:style>
  <w:style w:type="paragraph" w:styleId="Pa49" w:customStyle="1">
    <w:name w:val="Pa49"/>
    <w:basedOn w:val="Default"/>
    <w:qFormat/>
    <w:pPr>
      <w:spacing w:lineRule="atLeast" w:line="201"/>
    </w:pPr>
    <w:rPr/>
  </w:style>
  <w:style w:type="paragraph" w:styleId="Pa56" w:customStyle="1">
    <w:name w:val="Pa56"/>
    <w:basedOn w:val="Default"/>
    <w:qFormat/>
    <w:pPr>
      <w:spacing w:lineRule="atLeast" w:line="201"/>
    </w:pPr>
    <w:rPr/>
  </w:style>
  <w:style w:type="paragraph" w:styleId="Pa38" w:customStyle="1">
    <w:name w:val="Pa38"/>
    <w:basedOn w:val="Default"/>
    <w:qFormat/>
    <w:pPr>
      <w:spacing w:lineRule="atLeast" w:line="201"/>
    </w:pPr>
    <w:rPr/>
  </w:style>
  <w:style w:type="paragraph" w:styleId="Pa37" w:customStyle="1">
    <w:name w:val="Pa37"/>
    <w:basedOn w:val="Default"/>
    <w:qFormat/>
    <w:pPr>
      <w:spacing w:lineRule="atLeast" w:line="171"/>
    </w:pPr>
    <w:rPr/>
  </w:style>
  <w:style w:type="paragraph" w:styleId="Pa119" w:customStyle="1">
    <w:name w:val="Pa119"/>
    <w:basedOn w:val="Default"/>
    <w:qFormat/>
    <w:pPr>
      <w:spacing w:lineRule="atLeast" w:line="201"/>
    </w:pPr>
    <w:rPr/>
  </w:style>
  <w:style w:type="paragraph" w:styleId="Pa39" w:customStyle="1">
    <w:name w:val="Pa39"/>
    <w:basedOn w:val="Default"/>
    <w:qFormat/>
    <w:pPr>
      <w:spacing w:lineRule="atLeast" w:line="201"/>
    </w:pPr>
    <w:rPr/>
  </w:style>
  <w:style w:type="paragraph" w:styleId="Pa50" w:customStyle="1">
    <w:name w:val="Pa50"/>
    <w:basedOn w:val="Default"/>
    <w:qFormat/>
    <w:pPr>
      <w:spacing w:lineRule="atLeast" w:line="191"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Pa57" w:customStyle="1">
    <w:name w:val="Pa57"/>
    <w:basedOn w:val="Default"/>
    <w:qFormat/>
    <w:pPr>
      <w:spacing w:lineRule="atLeast" w:line="201"/>
    </w:pPr>
    <w:rPr/>
  </w:style>
  <w:style w:type="paragraph" w:styleId="Pa51" w:customStyle="1">
    <w:name w:val="Pa51"/>
    <w:basedOn w:val="Default"/>
    <w:qFormat/>
    <w:pPr>
      <w:spacing w:lineRule="atLeast" w:line="191"/>
    </w:pPr>
    <w:rPr/>
  </w:style>
  <w:style w:type="paragraph" w:styleId="Pa12" w:customStyle="1">
    <w:name w:val="Pa12"/>
    <w:basedOn w:val="Default"/>
    <w:qFormat/>
    <w:pPr>
      <w:spacing w:lineRule="atLeast" w:line="191"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16043"/>
    <w:pPr/>
    <w:rPr>
      <w:rFonts w:ascii="Tahoma" w:hAnsi="Tahoma" w:cs="Tahoma"/>
      <w:sz w:val="16"/>
      <w:szCs w:val="16"/>
    </w:rPr>
  </w:style>
  <w:style w:type="paragraph" w:styleId="Pa65">
    <w:name w:val="Pa65"/>
    <w:basedOn w:val="Default"/>
    <w:qFormat/>
    <w:pPr>
      <w:spacing w:lineRule="atLeast" w:line="201"/>
    </w:pPr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Ck7vmL2D8XU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Application>LibreOffice/5.3.3.2$Windows_x86 LibreOffice_project/3d9a8b4b4e538a85e0782bd6c2d430bafe583448</Application>
  <Pages>6</Pages>
  <Words>36</Words>
  <Characters>253</Characters>
  <CharactersWithSpaces>286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2018-07-05T10:58:00Z</dcterms:created>
  <dc:creator>Anna Idzikowska-Guzy, Ewa Janus</dc:creator>
  <dc:description/>
  <cp:keywords>wychowanie przedszkolne</cp:keywords>
  <dc:language>pl-PL</dc:language>
  <cp:lastModifiedBy/>
  <cp:lastPrinted>1601-01-01T00:00:00Z</cp:lastPrinted>
  <dcterms:modified xsi:type="dcterms:W3CDTF">2020-05-16T15:12:28Z</dcterms:modified>
  <cp:revision>34</cp:revision>
  <dc:subject>Scenariusze zajęć na 10 tygodni (21-30).</dc:subject>
  <dc:title>Plac zabaw. Sześciolatek. Przewodnik metodyczny cz. 3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