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Zabawa paluszkowa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Wypowiadamy słowa rymowanki i naśladujemy je gestem</w:t>
      </w:r>
      <w:r>
        <w:rPr>
          <w:rFonts w:cs="Arial" w:ascii="Arial" w:hAnsi="Arial"/>
          <w:color w:val="000000"/>
          <w:sz w:val="24"/>
          <w:szCs w:val="24"/>
        </w:rPr>
        <w:t>: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„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Paluszkowa zabawa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”</w:t>
      </w:r>
    </w:p>
    <w:p>
      <w:pPr>
        <w:pStyle w:val="Normal"/>
        <w:widowControl/>
        <w:rPr>
          <w:b/>
          <w:b/>
          <w:bCs/>
        </w:rPr>
      </w:pPr>
      <w:hyperlink r:id="rId2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4"/>
            <w:szCs w:val="24"/>
          </w:rPr>
          <w:t>https://www.youtube.com/watch?v=Idkrh3VnXZw</w:t>
        </w:r>
      </w:hyperlink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Mam dziesięć palców małych, 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do zabawy doskonałych.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Mogę zrobić wszystko nimi,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paluszkami malutkimi.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Mogę zamknąć je w piąsteczki,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lub rozłożyć jak chusteczki.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Mogę w słonko je zamienić,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albo schować do kieszeni.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Mogę unieść je wysoko,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lub rozłożyć je szeroko.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Mogę w koszyk je zaplątać,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albo jak motylek latać.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Mogę je ustawić w rządku,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lub zacząć od początku…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72560" cy="3787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  <w:r>
        <w:br w:type="page"/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Duży, mniejszy, najmniejszy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Drukujemy plansze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(lub rysujemy 3 misie, 3 krzesła i 3 miski w odpowiedniej wielkości),  dziecko z pomocą rodzica wycina krzesła i miseczki. Zadaniem dziecka jest dopasowanie przedmiotów odpowiedniej wielkości do konkretnych misiów.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Pytanie do dziecka:</w:t>
      </w:r>
    </w:p>
    <w:p>
      <w:pPr>
        <w:pStyle w:val="Normal"/>
        <w:widowControl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Który miś jest duży? A który jest najmniejszy? Wskaż misia, który ma niebieskie korale.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 co ma na szyi najmniejszy miś? Które na którym krześle zmieści się największy miś? Które krzesło pasuje do małego misia, a które do średniego? Duży miś, dużo je, w której misce zmieści się najwięcej jedzenia dla największego misia? Która miska jest misia z koralami? A która miska jest dla misia z czerwoną kokardą?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120130" cy="64071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562610</wp:posOffset>
            </wp:positionH>
            <wp:positionV relativeFrom="paragraph">
              <wp:posOffset>12065</wp:posOffset>
            </wp:positionV>
            <wp:extent cx="4783455" cy="624522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agwek3"/>
        <w:widowControl/>
        <w:jc w:val="left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pPr>
      <w:r>
        <w:rPr>
          <w:b w:val="false"/>
          <w:bCs w:val="false"/>
        </w:rPr>
      </w:r>
    </w:p>
    <w:p>
      <w:pPr>
        <w:pStyle w:val="Nagwek3"/>
        <w:widowControl/>
        <w:jc w:val="left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pPr>
      <w:r>
        <w:rPr>
          <w:b w:val="false"/>
          <w:bCs w:val="false"/>
        </w:rPr>
      </w:r>
    </w:p>
    <w:p>
      <w:pPr>
        <w:pStyle w:val="Nagwek3"/>
        <w:widowControl/>
        <w:jc w:val="left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pPr>
      <w:r>
        <w:rPr>
          <w:b w:val="false"/>
          <w:bCs w:val="false"/>
        </w:rPr>
      </w:r>
    </w:p>
    <w:p>
      <w:pPr>
        <w:pStyle w:val="Nagwek3"/>
        <w:widowControl/>
        <w:jc w:val="left"/>
        <w:rPr>
          <w:b w:val="false"/>
          <w:b w:val="false"/>
          <w:bCs w:val="false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Rzu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t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do celu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-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Na podłodze stawia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my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miskę lub wiaderko i wrzuca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my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do niego piłki, balony lub zmięte w kulki gazety. </w:t>
      </w:r>
    </w:p>
    <w:p>
      <w:pPr>
        <w:pStyle w:val="Tretekstu"/>
        <w:widowControl/>
        <w:pBdr/>
        <w:spacing w:before="0" w:after="0"/>
        <w:ind w:left="0" w:right="0" w:hanging="0"/>
        <w:jc w:val="left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jc w:val="left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Przelewanie –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dajemy dziecku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kubk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i,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pojemniczk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i, łyżki, sosjerki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i poka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zujemy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, jak przelewać wodę z jednego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naczynia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do drugiego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>za pomocą dostępnych przedmiotów.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  <w:t xml:space="preserve"> 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 w:bidi="ar-SA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Idkrh3VnXZw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LibreOffice/5.3.3.2$Windows_x86 LibreOffice_project/3d9a8b4b4e538a85e0782bd6c2d430bafe583448</Application>
  <Pages>3</Pages>
  <Words>217</Words>
  <Characters>1243</Characters>
  <CharactersWithSpaces>1442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2020-04-24T14:48:29Z</dcterms:modified>
  <cp:revision>30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