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Czy znasz te pojazdy? Policz ile jest aut, autobusów, rowerów, helikopterów, samolotów i skuterów. Postaraj się zapisać odpowiednie liczy w kratkach na dole strony.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78174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38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1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 xml:space="preserve">Opowiedz co widzisz na obrazkach. </w:t>
      </w:r>
      <w:r>
        <w:rPr>
          <w:rFonts w:cs="Arial" w:ascii="Arial" w:hAnsi="Arial"/>
          <w:color w:val="000000"/>
          <w:sz w:val="30"/>
          <w:szCs w:val="30"/>
        </w:rPr>
        <w:t>Które obrazki do siebie pasują i dlaczego?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11365" cy="687197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6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Pisząc pokonaj labirynt w taki sposób, by nie dotknąć linii.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919085"/>
            <wp:effectExtent l="0" t="0" r="0" b="0"/>
            <wp:wrapSquare wrapText="largest"/>
            <wp:docPr id="3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ODPOWIEDŹ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Parasolka chroni przed deszczem.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Kwiatek rośnie w doniczce.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Z dzbanka można nalać kawy lub herbaty do filiżanki.</w:t>
      </w:r>
    </w:p>
    <w:p>
      <w:pPr>
        <w:pStyle w:val="Normal"/>
        <w:widowControl/>
        <w:rPr/>
      </w:pPr>
      <w:r>
        <w:rPr>
          <w:rFonts w:cs="Arial" w:ascii="Arial" w:hAnsi="Arial"/>
          <w:color w:val="000000"/>
          <w:sz w:val="30"/>
          <w:szCs w:val="30"/>
        </w:rPr>
        <w:t>Ubrania wieszamy na wieszaku.</w:t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</w:r>
    </w:p>
    <w:p>
      <w:pPr>
        <w:pStyle w:val="Normal"/>
        <w:widowControl/>
        <w:rPr>
          <w:rFonts w:ascii="Arial" w:hAnsi="Arial" w:cs="Arial"/>
          <w:color w:val="000000"/>
          <w:sz w:val="30"/>
          <w:szCs w:val="30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6310" cy="4605655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LibreOffice/5.3.3.2$Windows_x86 LibreOffice_project/3d9a8b4b4e538a85e0782bd6c2d430bafe583448</Application>
  <Pages>4</Pages>
  <Words>68</Words>
  <Characters>388</Characters>
  <CharactersWithSpaces>448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2020-05-01T12:47:49Z</dcterms:modified>
  <cp:revision>32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